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CB" w:rsidRDefault="004762CE" w:rsidP="00077EF3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="000B62A2">
        <w:rPr>
          <w:b/>
          <w:sz w:val="32"/>
          <w:szCs w:val="32"/>
        </w:rPr>
        <w:t>ersja 4.16M</w:t>
      </w:r>
    </w:p>
    <w:p w:rsidR="00077EF3" w:rsidRDefault="00077EF3" w:rsidP="00077EF3">
      <w:pPr>
        <w:ind w:firstLine="708"/>
        <w:rPr>
          <w:b/>
          <w:sz w:val="32"/>
          <w:szCs w:val="32"/>
        </w:rPr>
      </w:pPr>
    </w:p>
    <w:p w:rsidR="00077EF3" w:rsidRDefault="00077EF3" w:rsidP="00077EF3">
      <w:pPr>
        <w:ind w:firstLine="708"/>
        <w:rPr>
          <w:b/>
          <w:sz w:val="32"/>
          <w:szCs w:val="32"/>
        </w:rPr>
      </w:pPr>
    </w:p>
    <w:p w:rsidR="00B35464" w:rsidRDefault="000B62A2" w:rsidP="000B62A2">
      <w:pPr>
        <w:pStyle w:val="Akapitzlist"/>
        <w:numPr>
          <w:ilvl w:val="0"/>
          <w:numId w:val="16"/>
        </w:numPr>
      </w:pPr>
      <w:r>
        <w:t>Dodano możliwość usunięcia pracodawcy z karty klienta (</w:t>
      </w:r>
      <w:proofErr w:type="gramStart"/>
      <w:r>
        <w:t>klawisz</w:t>
      </w:r>
      <w:proofErr w:type="gramEnd"/>
      <w:r>
        <w:t xml:space="preserve"> usuń pracodawcę)</w:t>
      </w:r>
    </w:p>
    <w:p w:rsidR="00931EE0" w:rsidRDefault="00931EE0" w:rsidP="00931EE0">
      <w:pPr>
        <w:pStyle w:val="Akapitzlist"/>
        <w:ind w:left="1800"/>
      </w:pPr>
    </w:p>
    <w:p w:rsidR="000B62A2" w:rsidRDefault="000B62A2" w:rsidP="000B62A2">
      <w:pPr>
        <w:pStyle w:val="Akapitzlist"/>
        <w:numPr>
          <w:ilvl w:val="0"/>
          <w:numId w:val="16"/>
        </w:numPr>
      </w:pPr>
      <w:r>
        <w:t>Dodano możliwość wejścia do danych poręczyciela po dwukrotnym kliknięciu na PESEL</w:t>
      </w:r>
    </w:p>
    <w:p w:rsidR="000F7FAF" w:rsidRDefault="000F7FAF" w:rsidP="000F7FAF">
      <w:pPr>
        <w:pStyle w:val="Akapitzlist"/>
      </w:pPr>
    </w:p>
    <w:p w:rsidR="000F7FAF" w:rsidRDefault="000F7FAF" w:rsidP="000B62A2">
      <w:pPr>
        <w:pStyle w:val="Akapitzlist"/>
        <w:numPr>
          <w:ilvl w:val="0"/>
          <w:numId w:val="16"/>
        </w:numPr>
      </w:pPr>
      <w:r>
        <w:t>Zmiana w opcji przeglądanie dekretów – dodano możliwość filtrowania dekretów po kodzie „Dokument (KP)”</w:t>
      </w:r>
    </w:p>
    <w:p w:rsidR="00931EE0" w:rsidRDefault="00931EE0" w:rsidP="00931EE0">
      <w:pPr>
        <w:pStyle w:val="Akapitzlist"/>
        <w:ind w:left="1800"/>
      </w:pPr>
    </w:p>
    <w:p w:rsidR="00D213FB" w:rsidRDefault="00D213FB" w:rsidP="000B62A2">
      <w:pPr>
        <w:pStyle w:val="Akapitzlist"/>
        <w:numPr>
          <w:ilvl w:val="0"/>
          <w:numId w:val="16"/>
        </w:numPr>
      </w:pPr>
      <w:r>
        <w:t>Zmiana w zwrocie pożyczki, dodano naliczenie odsetek za okres korzystania z pożyczki, istniej możliwość skorygowania wysokości odsetek np. Klient wpłacił w innej wysokości.</w:t>
      </w:r>
    </w:p>
    <w:p w:rsidR="00FA7F0D" w:rsidRDefault="00FA7F0D" w:rsidP="00FA7F0D">
      <w:pPr>
        <w:pStyle w:val="Akapitzlist"/>
        <w:ind w:left="1800"/>
      </w:pPr>
      <w:bookmarkStart w:id="0" w:name="_GoBack"/>
      <w:bookmarkEnd w:id="0"/>
    </w:p>
    <w:p w:rsidR="00FA7F0D" w:rsidRDefault="00FA7F0D" w:rsidP="00FA7F0D">
      <w:pPr>
        <w:pStyle w:val="Akapitzlist"/>
        <w:numPr>
          <w:ilvl w:val="0"/>
          <w:numId w:val="16"/>
        </w:numPr>
      </w:pPr>
      <w:r>
        <w:t xml:space="preserve">Wprowadzono możliwość konfiguracji wyglądu </w:t>
      </w:r>
      <w:r w:rsidRPr="00FA7F0D">
        <w:t>raportu zaległości z podziałem na fundusze.</w:t>
      </w:r>
      <w:r>
        <w:t xml:space="preserve"> (Poniżej rysunek precyzujący wywołanie opisywanego raportu)</w:t>
      </w:r>
    </w:p>
    <w:p w:rsidR="00FA7F0D" w:rsidRDefault="00FA7F0D" w:rsidP="00FA7F0D">
      <w:pPr>
        <w:spacing w:line="360" w:lineRule="auto"/>
      </w:pPr>
    </w:p>
    <w:p w:rsidR="00FA7F0D" w:rsidRDefault="00FA7F0D" w:rsidP="00FA7F0D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743B1E33" wp14:editId="1B0286D6">
            <wp:extent cx="4733925" cy="56864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F0D" w:rsidRDefault="00FA7F0D" w:rsidP="00FA7F0D">
      <w:pPr>
        <w:spacing w:line="360" w:lineRule="auto"/>
        <w:jc w:val="center"/>
      </w:pPr>
    </w:p>
    <w:p w:rsidR="00FA7F0D" w:rsidRDefault="00FA7F0D" w:rsidP="00FA7F0D">
      <w:pPr>
        <w:spacing w:line="360" w:lineRule="auto"/>
        <w:ind w:left="705"/>
      </w:pPr>
      <w:r>
        <w:t xml:space="preserve">Aby wejść w konfigurację danego raportu wybieramy z menu </w:t>
      </w:r>
      <w:r w:rsidRPr="00EE7342">
        <w:rPr>
          <w:b/>
        </w:rPr>
        <w:t>Baza</w:t>
      </w:r>
      <w:r w:rsidRPr="00EE7342">
        <w:rPr>
          <w:b/>
        </w:rPr>
        <w:sym w:font="Wingdings" w:char="F0E0"/>
      </w:r>
      <w:r w:rsidRPr="00EE7342">
        <w:rPr>
          <w:b/>
        </w:rPr>
        <w:t>Konfiguracja</w:t>
      </w:r>
      <w:r>
        <w:t xml:space="preserve"> i w polu szukanym wpisujemy </w:t>
      </w:r>
      <w:r w:rsidRPr="00EE7342">
        <w:rPr>
          <w:i/>
        </w:rPr>
        <w:t>„Konfiguracja raportu zaległości”</w:t>
      </w:r>
      <w:r>
        <w:t xml:space="preserve"> wówczas po dwukrotnym kliknięciu w daną pozycję na liście otworzy się konfiguracja raportu przedstawiona na rysunku poniżej. Możemy tu dowolnie wybrać kolumny, które powinny znajdować się na wydruku. </w:t>
      </w:r>
    </w:p>
    <w:p w:rsidR="00FA7F0D" w:rsidRDefault="00FA7F0D" w:rsidP="00FA7F0D">
      <w:pPr>
        <w:spacing w:line="360" w:lineRule="auto"/>
        <w:ind w:left="705"/>
      </w:pPr>
    </w:p>
    <w:p w:rsidR="00FA7F0D" w:rsidRDefault="00FA7F0D" w:rsidP="00FA7F0D">
      <w:pPr>
        <w:spacing w:line="360" w:lineRule="auto"/>
        <w:ind w:left="705"/>
      </w:pPr>
      <w:proofErr w:type="gramStart"/>
      <w:r w:rsidRPr="00E52D74">
        <w:rPr>
          <w:b/>
        </w:rPr>
        <w:t>Uwaga !</w:t>
      </w:r>
      <w:r>
        <w:t xml:space="preserve"> </w:t>
      </w:r>
      <w:proofErr w:type="gramEnd"/>
      <w:r>
        <w:t>Aby widoczne było słowo „SUMA” oraz nazwy produktów w podsumowaniu muszą być włączone kolumny „Klient” i „Numer umowy”.</w:t>
      </w:r>
    </w:p>
    <w:p w:rsidR="00FA7F0D" w:rsidRDefault="00FA7F0D" w:rsidP="00FA7F0D">
      <w:pPr>
        <w:spacing w:line="360" w:lineRule="auto"/>
        <w:ind w:left="705"/>
      </w:pPr>
    </w:p>
    <w:p w:rsidR="00FA7F0D" w:rsidRDefault="00FA7F0D" w:rsidP="00FA7F0D">
      <w:pPr>
        <w:spacing w:line="360" w:lineRule="auto"/>
        <w:ind w:left="705"/>
      </w:pPr>
      <w:r>
        <w:rPr>
          <w:noProof/>
        </w:rPr>
        <w:lastRenderedPageBreak/>
        <w:drawing>
          <wp:inline distT="0" distB="0" distL="0" distR="0" wp14:anchorId="4AFB8068" wp14:editId="2D79E641">
            <wp:extent cx="5495925" cy="63150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F0D" w:rsidRDefault="00FA7F0D" w:rsidP="00FA7F0D">
      <w:pPr>
        <w:pStyle w:val="Akapitzlist"/>
        <w:ind w:left="1800"/>
      </w:pPr>
    </w:p>
    <w:p w:rsidR="009F2038" w:rsidRDefault="009F2038" w:rsidP="009F2038">
      <w:pPr>
        <w:pStyle w:val="Akapitzlist"/>
      </w:pPr>
    </w:p>
    <w:p w:rsidR="00931EE0" w:rsidRDefault="00931EE0" w:rsidP="00931EE0">
      <w:pPr>
        <w:pStyle w:val="Akapitzlist"/>
        <w:ind w:left="1800"/>
      </w:pPr>
    </w:p>
    <w:p w:rsidR="00931EE0" w:rsidRDefault="00931EE0" w:rsidP="000B62A2">
      <w:pPr>
        <w:pStyle w:val="Akapitzlist"/>
        <w:numPr>
          <w:ilvl w:val="0"/>
          <w:numId w:val="16"/>
        </w:numPr>
      </w:pPr>
      <w:r>
        <w:t xml:space="preserve">Zmiana w rejestracji aneksu spłat (zmiana kolejności przyjmowania spłat dla umowy). </w:t>
      </w:r>
    </w:p>
    <w:p w:rsidR="00931EE0" w:rsidRDefault="00931EE0" w:rsidP="00931EE0">
      <w:pPr>
        <w:pStyle w:val="Akapitzlist"/>
      </w:pPr>
    </w:p>
    <w:p w:rsidR="00931EE0" w:rsidRDefault="00931EE0" w:rsidP="00931EE0">
      <w:pPr>
        <w:pStyle w:val="Akapitzlist"/>
        <w:ind w:left="1800"/>
      </w:pPr>
      <w:r>
        <w:t xml:space="preserve">W </w:t>
      </w:r>
      <w:proofErr w:type="gramStart"/>
      <w:r>
        <w:t>przypadku gdy</w:t>
      </w:r>
      <w:proofErr w:type="gramEnd"/>
      <w:r>
        <w:t xml:space="preserve"> rejestrowany aneks jest identyczny jak ustawienie globalne dla danego produktu.  System usuwa indywidualne ustawienia dla umowy, usuwa czerwone oznaczenie umowy. Dotycz sowę indywidualne oznaczenie kolejności przenosi do historii spłacalności pożyczki.</w:t>
      </w:r>
    </w:p>
    <w:p w:rsidR="00EC49E9" w:rsidRDefault="00EC49E9" w:rsidP="00931EE0">
      <w:pPr>
        <w:pStyle w:val="Akapitzlist"/>
        <w:ind w:left="1800"/>
      </w:pPr>
    </w:p>
    <w:p w:rsidR="00EC49E9" w:rsidRDefault="00EC49E9" w:rsidP="00931EE0">
      <w:pPr>
        <w:pStyle w:val="Akapitzlist"/>
        <w:ind w:left="1800"/>
      </w:pPr>
      <w:r>
        <w:t xml:space="preserve">Zmiana ma na celu uproszczenie wyglądu ekranu umowy info. Obecnie na czerwono będą widoczne tylko te </w:t>
      </w:r>
      <w:proofErr w:type="gramStart"/>
      <w:r>
        <w:t>umowy które</w:t>
      </w:r>
      <w:proofErr w:type="gramEnd"/>
      <w:r>
        <w:t xml:space="preserve"> mają aktualnie zapisaną zmianę kolejności spłat. </w:t>
      </w:r>
      <w:proofErr w:type="gramStart"/>
      <w:r>
        <w:t>Umowy które</w:t>
      </w:r>
      <w:proofErr w:type="gramEnd"/>
      <w:r>
        <w:t xml:space="preserve"> historycznie miały zmiany w </w:t>
      </w:r>
      <w:r>
        <w:lastRenderedPageBreak/>
        <w:t>kolejności spłat a obecnie mają kolejność standardową nie mają oznaczenia indywidualna kolejność spłat.</w:t>
      </w:r>
    </w:p>
    <w:p w:rsidR="00931EE0" w:rsidRDefault="00931EE0" w:rsidP="00931EE0">
      <w:pPr>
        <w:pStyle w:val="Akapitzlist"/>
        <w:ind w:left="1800"/>
      </w:pPr>
    </w:p>
    <w:p w:rsidR="003B19A9" w:rsidRDefault="003B19A9" w:rsidP="000B62A2">
      <w:pPr>
        <w:pStyle w:val="Akapitzlist"/>
        <w:numPr>
          <w:ilvl w:val="0"/>
          <w:numId w:val="16"/>
        </w:numPr>
      </w:pPr>
      <w:r>
        <w:t xml:space="preserve">Uproszczono zmianę pośrednika dla umowy </w:t>
      </w:r>
      <w:proofErr w:type="gramStart"/>
      <w:r>
        <w:t>pożyczkowej,  klawisz</w:t>
      </w:r>
      <w:proofErr w:type="gramEnd"/>
      <w:r>
        <w:t xml:space="preserve"> zmień dodano do karty umowy przy nazwie pośrednika.</w:t>
      </w:r>
    </w:p>
    <w:p w:rsidR="000B62A2" w:rsidRDefault="000B62A2" w:rsidP="000B62A2">
      <w:pPr>
        <w:pStyle w:val="Akapitzlist"/>
        <w:ind w:left="1800"/>
      </w:pPr>
    </w:p>
    <w:p w:rsidR="006D6B49" w:rsidRDefault="006D6B49" w:rsidP="00C90B56">
      <w:pPr>
        <w:pStyle w:val="Akapitzlist"/>
        <w:ind w:left="1440"/>
      </w:pPr>
    </w:p>
    <w:p w:rsidR="00E71AEB" w:rsidRDefault="00E71AEB" w:rsidP="001133EE">
      <w:pPr>
        <w:pStyle w:val="Akapitzlist"/>
        <w:ind w:left="1440"/>
      </w:pPr>
      <w:r>
        <w:t>Utworzono trzy nowe znaczniki</w:t>
      </w:r>
    </w:p>
    <w:p w:rsidR="00E71AEB" w:rsidRDefault="00E71AEB" w:rsidP="001133EE">
      <w:pPr>
        <w:pStyle w:val="Akapitzlist"/>
        <w:ind w:left="1440"/>
      </w:pPr>
    </w:p>
    <w:p w:rsidR="00E71AEB" w:rsidRDefault="00E71AEB" w:rsidP="001133EE">
      <w:pPr>
        <w:pStyle w:val="Akapitzlist"/>
        <w:ind w:left="1440"/>
      </w:pPr>
    </w:p>
    <w:p w:rsidR="00E71AEB" w:rsidRDefault="00E71AEB" w:rsidP="001133EE">
      <w:pPr>
        <w:pStyle w:val="Akapitzlist"/>
        <w:ind w:left="1440"/>
      </w:pPr>
      <w:r w:rsidRPr="00E71AEB">
        <w:rPr>
          <w:b/>
        </w:rPr>
        <w:t>WYS_PROW_WEZ1</w:t>
      </w:r>
      <w:r>
        <w:t xml:space="preserve"> – Kwota prowizji za wezwanie 1 </w:t>
      </w:r>
    </w:p>
    <w:p w:rsidR="00E71AEB" w:rsidRDefault="00E71AEB" w:rsidP="001133EE">
      <w:pPr>
        <w:pStyle w:val="Akapitzlist"/>
        <w:ind w:left="1440"/>
      </w:pPr>
      <w:r w:rsidRPr="00E71AEB">
        <w:rPr>
          <w:b/>
        </w:rPr>
        <w:t>WYS_PROW_WEZ2</w:t>
      </w:r>
      <w:r>
        <w:t xml:space="preserve"> – Kwota prowizji za wezwanie 2</w:t>
      </w:r>
    </w:p>
    <w:p w:rsidR="009156BB" w:rsidRDefault="009156BB" w:rsidP="009156BB">
      <w:pPr>
        <w:spacing w:line="360" w:lineRule="auto"/>
        <w:ind w:firstLine="708"/>
        <w:rPr>
          <w:b/>
          <w:sz w:val="32"/>
          <w:szCs w:val="32"/>
        </w:rPr>
      </w:pPr>
      <w:r>
        <w:rPr>
          <w:b/>
        </w:rPr>
        <w:t xml:space="preserve">           </w:t>
      </w:r>
      <w:r w:rsidR="00E71AEB" w:rsidRPr="00E71AEB">
        <w:rPr>
          <w:b/>
        </w:rPr>
        <w:t>WYS_PROW_WEZ3</w:t>
      </w:r>
      <w:r w:rsidR="00E71AEB">
        <w:t xml:space="preserve"> – Kwota prowizji za wezwanie 3</w:t>
      </w:r>
      <w:r w:rsidR="001133EE" w:rsidRPr="001133EE">
        <w:br/>
      </w:r>
      <w:r w:rsidR="001133EE" w:rsidRPr="001133EE">
        <w:br/>
      </w:r>
    </w:p>
    <w:p w:rsidR="009156BB" w:rsidRDefault="009156BB" w:rsidP="009156BB">
      <w:pPr>
        <w:pStyle w:val="Akapitzlist"/>
        <w:numPr>
          <w:ilvl w:val="0"/>
          <w:numId w:val="16"/>
        </w:numPr>
        <w:spacing w:line="360" w:lineRule="auto"/>
      </w:pPr>
      <w:r>
        <w:t xml:space="preserve">Dodano możliwość ręcznego definiowania zakresu dat do tygodni rozliczeniowych. Aby skorzystać z wymienionej funkcjonalności, należy wybrać z menu </w:t>
      </w:r>
      <w:r>
        <w:rPr>
          <w:b/>
        </w:rPr>
        <w:t>Baza</w:t>
      </w:r>
      <w:r w:rsidRPr="00714A7A">
        <w:rPr>
          <w:b/>
        </w:rPr>
        <w:sym w:font="Wingdings" w:char="F0E0"/>
      </w:r>
      <w:r>
        <w:rPr>
          <w:b/>
        </w:rPr>
        <w:t xml:space="preserve">Kalendarz. </w:t>
      </w:r>
      <w:r>
        <w:t>Uruchamiając daną opcję po raz pierwszy system wygeneruje domyślną definicję bieżącego roku i wyświetli komunikat o poprawności wykonania tej operacji.</w:t>
      </w:r>
    </w:p>
    <w:p w:rsidR="009156BB" w:rsidRDefault="009156BB" w:rsidP="009156BB">
      <w:pPr>
        <w:pStyle w:val="Akapitzlist"/>
        <w:spacing w:line="360" w:lineRule="auto"/>
        <w:ind w:left="1068"/>
      </w:pPr>
    </w:p>
    <w:p w:rsidR="009156BB" w:rsidRDefault="009156BB" w:rsidP="009156BB">
      <w:pPr>
        <w:pStyle w:val="Akapitzlist"/>
        <w:spacing w:line="360" w:lineRule="auto"/>
        <w:ind w:left="1068"/>
      </w:pPr>
      <w:proofErr w:type="gramStart"/>
      <w:r w:rsidRPr="00924FD9">
        <w:rPr>
          <w:b/>
        </w:rPr>
        <w:t>UWAGA !</w:t>
      </w:r>
      <w:r>
        <w:t xml:space="preserve">   </w:t>
      </w:r>
      <w:proofErr w:type="gramEnd"/>
    </w:p>
    <w:p w:rsidR="009156BB" w:rsidRDefault="009156BB" w:rsidP="009156BB">
      <w:pPr>
        <w:pStyle w:val="Akapitzlist"/>
        <w:spacing w:line="360" w:lineRule="auto"/>
        <w:ind w:left="1068"/>
      </w:pPr>
      <w:r>
        <w:t>Po wykonaniu instalacji należy otworzyć kalendarz w celu wygenerowania domyślnej definicji bieżącego roku.</w:t>
      </w:r>
    </w:p>
    <w:p w:rsidR="009156BB" w:rsidRDefault="009156BB" w:rsidP="009156BB">
      <w:pPr>
        <w:pStyle w:val="Akapitzlist"/>
        <w:spacing w:line="360" w:lineRule="auto"/>
        <w:ind w:left="1068"/>
      </w:pPr>
    </w:p>
    <w:p w:rsidR="009156BB" w:rsidRDefault="009156BB" w:rsidP="009156BB">
      <w:pPr>
        <w:pStyle w:val="Akapitzlist"/>
        <w:spacing w:line="360" w:lineRule="auto"/>
        <w:ind w:left="1068"/>
      </w:pPr>
      <w:r>
        <w:t>Poniżej wygląd kalendarza</w:t>
      </w:r>
    </w:p>
    <w:p w:rsidR="009156BB" w:rsidRDefault="009156BB" w:rsidP="009156BB">
      <w:pPr>
        <w:pStyle w:val="Akapitzlist"/>
        <w:spacing w:line="360" w:lineRule="auto"/>
        <w:ind w:left="1068"/>
      </w:pPr>
    </w:p>
    <w:p w:rsidR="009156BB" w:rsidRDefault="009156BB" w:rsidP="009156BB">
      <w:pPr>
        <w:pStyle w:val="Akapitzlist"/>
        <w:spacing w:line="360" w:lineRule="auto"/>
        <w:ind w:left="1068"/>
        <w:jc w:val="center"/>
      </w:pPr>
      <w:r>
        <w:rPr>
          <w:noProof/>
        </w:rPr>
        <w:lastRenderedPageBreak/>
        <w:drawing>
          <wp:inline distT="0" distB="0" distL="0" distR="0" wp14:anchorId="30A7A506" wp14:editId="2A72B391">
            <wp:extent cx="4051300" cy="50927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509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6BB" w:rsidRDefault="009156BB" w:rsidP="009156BB">
      <w:pPr>
        <w:pStyle w:val="Akapitzlist"/>
        <w:spacing w:line="360" w:lineRule="auto"/>
        <w:ind w:left="1068"/>
        <w:jc w:val="center"/>
      </w:pPr>
    </w:p>
    <w:p w:rsidR="009156BB" w:rsidRDefault="009156BB" w:rsidP="009156BB">
      <w:pPr>
        <w:pStyle w:val="Akapitzlist"/>
        <w:spacing w:line="360" w:lineRule="auto"/>
        <w:ind w:left="1068"/>
        <w:jc w:val="center"/>
      </w:pPr>
    </w:p>
    <w:p w:rsidR="009156BB" w:rsidRDefault="009156BB" w:rsidP="009156BB">
      <w:pPr>
        <w:pStyle w:val="Akapitzlist"/>
        <w:spacing w:line="360" w:lineRule="auto"/>
        <w:ind w:left="1068"/>
      </w:pPr>
      <w:r>
        <w:t>Aby zdefiniować inny rok, należy wybrać interesujący nas w polu „Definiowany rok” z listą rozwijaną. Dwukrotne kliknięcie na liście tygodni spowoduję wyświetlenie okienka z możliwością edycji danej pozycji. W ten sposób można zdefiniować daty tygodni do własnych potrzeb</w:t>
      </w:r>
    </w:p>
    <w:p w:rsidR="009156BB" w:rsidRDefault="009156BB" w:rsidP="009156BB">
      <w:pPr>
        <w:pStyle w:val="Akapitzlist"/>
        <w:spacing w:line="360" w:lineRule="auto"/>
        <w:ind w:left="1068"/>
      </w:pPr>
    </w:p>
    <w:p w:rsidR="009156BB" w:rsidRDefault="009156BB" w:rsidP="009156BB">
      <w:pPr>
        <w:pStyle w:val="Akapitzlist"/>
        <w:spacing w:line="360" w:lineRule="auto"/>
        <w:ind w:left="1068"/>
        <w:jc w:val="center"/>
      </w:pPr>
      <w:r>
        <w:rPr>
          <w:noProof/>
        </w:rPr>
        <w:lastRenderedPageBreak/>
        <w:drawing>
          <wp:inline distT="0" distB="0" distL="0" distR="0" wp14:anchorId="0D5F9A18" wp14:editId="27A74B15">
            <wp:extent cx="3403600" cy="241935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6BB" w:rsidRDefault="009156BB" w:rsidP="009156BB">
      <w:pPr>
        <w:pStyle w:val="Akapitzlist"/>
        <w:spacing w:line="360" w:lineRule="auto"/>
        <w:ind w:left="1068"/>
        <w:jc w:val="center"/>
      </w:pPr>
    </w:p>
    <w:p w:rsidR="009156BB" w:rsidRDefault="009156BB" w:rsidP="009156BB">
      <w:pPr>
        <w:pStyle w:val="Akapitzlist"/>
        <w:spacing w:line="360" w:lineRule="auto"/>
        <w:ind w:left="1068"/>
      </w:pPr>
      <w:r>
        <w:t>Zdefiniowane tygodnie wykorzystywane są do raportu „Listy zbiórek”</w:t>
      </w:r>
    </w:p>
    <w:p w:rsidR="009156BB" w:rsidRDefault="009156BB" w:rsidP="009156BB">
      <w:pPr>
        <w:pStyle w:val="Akapitzlist"/>
        <w:spacing w:line="360" w:lineRule="auto"/>
        <w:ind w:left="1068"/>
        <w:jc w:val="center"/>
      </w:pPr>
    </w:p>
    <w:p w:rsidR="009156BB" w:rsidRDefault="009156BB" w:rsidP="009156BB">
      <w:pPr>
        <w:pStyle w:val="Akapitzlist"/>
        <w:spacing w:line="360" w:lineRule="auto"/>
        <w:ind w:left="1068"/>
        <w:jc w:val="center"/>
      </w:pPr>
    </w:p>
    <w:p w:rsidR="009156BB" w:rsidRDefault="009156BB" w:rsidP="009156BB">
      <w:pPr>
        <w:pStyle w:val="Akapitzlist"/>
        <w:numPr>
          <w:ilvl w:val="0"/>
          <w:numId w:val="16"/>
        </w:numPr>
        <w:spacing w:line="360" w:lineRule="auto"/>
      </w:pPr>
      <w:r>
        <w:t>Dodano dwa nowe znaczniki:</w:t>
      </w:r>
    </w:p>
    <w:p w:rsidR="009156BB" w:rsidRDefault="009156BB" w:rsidP="009156BB">
      <w:pPr>
        <w:pStyle w:val="Akapitzlist"/>
        <w:spacing w:line="360" w:lineRule="auto"/>
        <w:ind w:left="1068"/>
      </w:pPr>
      <w:r>
        <w:t>- [DATA_SPL] – data spłacenia pożyczki z danych umowy</w:t>
      </w:r>
    </w:p>
    <w:p w:rsidR="009156BB" w:rsidRDefault="009156BB" w:rsidP="009156BB">
      <w:pPr>
        <w:pStyle w:val="Akapitzlist"/>
        <w:spacing w:line="360" w:lineRule="auto"/>
        <w:ind w:left="1068"/>
      </w:pPr>
      <w:r>
        <w:t>- [ST_PRODUKTU] – stopa zwrotu z danych produktu (poniżej rysunek przybliżający daną stopę)</w:t>
      </w:r>
    </w:p>
    <w:p w:rsidR="009156BB" w:rsidRDefault="009156BB" w:rsidP="009156BB">
      <w:pPr>
        <w:pStyle w:val="Akapitzlist"/>
        <w:spacing w:line="360" w:lineRule="auto"/>
        <w:ind w:left="1068"/>
      </w:pPr>
      <w:r>
        <w:rPr>
          <w:noProof/>
        </w:rPr>
        <w:lastRenderedPageBreak/>
        <w:drawing>
          <wp:inline distT="0" distB="0" distL="0" distR="0" wp14:anchorId="668EF47B" wp14:editId="1545F54B">
            <wp:extent cx="4914900" cy="59055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3EE" w:rsidRDefault="001133EE" w:rsidP="001133EE">
      <w:pPr>
        <w:pStyle w:val="Akapitzlist"/>
        <w:ind w:left="1440"/>
      </w:pPr>
    </w:p>
    <w:p w:rsidR="007B7413" w:rsidRDefault="007B7413" w:rsidP="001E62CB">
      <w:pPr>
        <w:ind w:left="720"/>
      </w:pPr>
    </w:p>
    <w:p w:rsidR="001E62CB" w:rsidRDefault="001E62CB" w:rsidP="001E62CB">
      <w:pPr>
        <w:ind w:left="720"/>
      </w:pPr>
      <w:r>
        <w:t>Instrukcja wgrania wersji</w:t>
      </w:r>
    </w:p>
    <w:p w:rsidR="001E62CB" w:rsidRDefault="001E62CB" w:rsidP="001E62CB">
      <w:pPr>
        <w:numPr>
          <w:ilvl w:val="0"/>
          <w:numId w:val="2"/>
        </w:numPr>
      </w:pPr>
      <w:r>
        <w:t xml:space="preserve">Wykonać kopię </w:t>
      </w:r>
      <w:proofErr w:type="gramStart"/>
      <w:r>
        <w:t>bazy !</w:t>
      </w:r>
      <w:proofErr w:type="gramEnd"/>
    </w:p>
    <w:p w:rsidR="001E62CB" w:rsidRDefault="001E62CB" w:rsidP="001E62CB">
      <w:pPr>
        <w:numPr>
          <w:ilvl w:val="0"/>
          <w:numId w:val="2"/>
        </w:numPr>
      </w:pPr>
      <w:r>
        <w:t>Zamienić plik pbaza.</w:t>
      </w:r>
      <w:proofErr w:type="gramStart"/>
      <w:r>
        <w:t>exe</w:t>
      </w:r>
      <w:proofErr w:type="gramEnd"/>
      <w:r>
        <w:t xml:space="preserve"> na aktualny</w:t>
      </w:r>
    </w:p>
    <w:p w:rsidR="001E62CB" w:rsidRDefault="001E62CB" w:rsidP="001E62CB">
      <w:pPr>
        <w:numPr>
          <w:ilvl w:val="0"/>
          <w:numId w:val="2"/>
        </w:numPr>
      </w:pPr>
      <w:r>
        <w:t>Wykonać instalacje bazy danych opcja Baza-&gt;Instalacja wersji</w:t>
      </w:r>
    </w:p>
    <w:p w:rsidR="001C2EE1" w:rsidRDefault="001C2EE1" w:rsidP="001E62CB">
      <w:pPr>
        <w:numPr>
          <w:ilvl w:val="0"/>
          <w:numId w:val="2"/>
        </w:numPr>
      </w:pPr>
      <w:r>
        <w:t>Zaczytać wzorzec RAP_GOT</w:t>
      </w:r>
    </w:p>
    <w:p w:rsidR="001C2EE1" w:rsidRDefault="001C2EE1" w:rsidP="001C2EE1">
      <w:pPr>
        <w:ind w:left="1080"/>
      </w:pPr>
    </w:p>
    <w:p w:rsidR="006F55BB" w:rsidRPr="006F55BB" w:rsidRDefault="006F55BB" w:rsidP="001E62CB">
      <w:pPr>
        <w:numPr>
          <w:ilvl w:val="0"/>
          <w:numId w:val="2"/>
        </w:numPr>
        <w:rPr>
          <w:b/>
          <w:color w:val="FF0000"/>
        </w:rPr>
      </w:pPr>
      <w:r w:rsidRPr="006F55BB">
        <w:rPr>
          <w:b/>
          <w:color w:val="FF0000"/>
        </w:rPr>
        <w:t>Firmy prowadzące operacje finansowe w oparciu o tydzień rozliczeniowy</w:t>
      </w:r>
    </w:p>
    <w:p w:rsidR="006F55BB" w:rsidRPr="006F55BB" w:rsidRDefault="006F55BB" w:rsidP="006F55BB">
      <w:pPr>
        <w:ind w:left="1080"/>
        <w:rPr>
          <w:b/>
          <w:color w:val="FF0000"/>
        </w:rPr>
      </w:pPr>
      <w:r w:rsidRPr="006F55BB">
        <w:rPr>
          <w:b/>
          <w:color w:val="FF0000"/>
        </w:rPr>
        <w:tab/>
        <w:t>Konieczna jest definicja tygodni opcja Baza-&gt;Kalendarz-&gt;Definicja tygodni.</w:t>
      </w:r>
    </w:p>
    <w:p w:rsidR="001E62CB" w:rsidRDefault="001E62CB" w:rsidP="001E62CB">
      <w:pPr>
        <w:ind w:left="1080"/>
      </w:pPr>
    </w:p>
    <w:p w:rsidR="001E62CB" w:rsidRDefault="001E62CB" w:rsidP="001E62CB"/>
    <w:p w:rsidR="00316A32" w:rsidRPr="00644036" w:rsidRDefault="00316A32" w:rsidP="008B19F4">
      <w:pPr>
        <w:tabs>
          <w:tab w:val="left" w:pos="2985"/>
        </w:tabs>
      </w:pPr>
    </w:p>
    <w:sectPr w:rsidR="00316A32" w:rsidRPr="0064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981"/>
    <w:multiLevelType w:val="hybridMultilevel"/>
    <w:tmpl w:val="E104F346"/>
    <w:lvl w:ilvl="0" w:tplc="FA924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60B76"/>
    <w:multiLevelType w:val="hybridMultilevel"/>
    <w:tmpl w:val="BF325A54"/>
    <w:lvl w:ilvl="0" w:tplc="072C7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65550A"/>
    <w:multiLevelType w:val="hybridMultilevel"/>
    <w:tmpl w:val="76B44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6CA7"/>
    <w:multiLevelType w:val="hybridMultilevel"/>
    <w:tmpl w:val="C3CC05EC"/>
    <w:lvl w:ilvl="0" w:tplc="CBEE095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47774F"/>
    <w:multiLevelType w:val="hybridMultilevel"/>
    <w:tmpl w:val="A998D700"/>
    <w:lvl w:ilvl="0" w:tplc="9008E9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6FA0D92"/>
    <w:multiLevelType w:val="hybridMultilevel"/>
    <w:tmpl w:val="AAEC8E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75567D"/>
    <w:multiLevelType w:val="hybridMultilevel"/>
    <w:tmpl w:val="229646D2"/>
    <w:lvl w:ilvl="0" w:tplc="EB4C6604">
      <w:start w:val="1"/>
      <w:numFmt w:val="lowerLetter"/>
      <w:lvlText w:val="%1)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>
    <w:nsid w:val="3DF47C25"/>
    <w:multiLevelType w:val="hybridMultilevel"/>
    <w:tmpl w:val="20EE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554D5"/>
    <w:multiLevelType w:val="hybridMultilevel"/>
    <w:tmpl w:val="4DB236B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113129B"/>
    <w:multiLevelType w:val="multilevel"/>
    <w:tmpl w:val="962EF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3650CE4"/>
    <w:multiLevelType w:val="hybridMultilevel"/>
    <w:tmpl w:val="779C21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87765B"/>
    <w:multiLevelType w:val="hybridMultilevel"/>
    <w:tmpl w:val="C206FFD6"/>
    <w:lvl w:ilvl="0" w:tplc="714002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0843629"/>
    <w:multiLevelType w:val="hybridMultilevel"/>
    <w:tmpl w:val="10A629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F176B8"/>
    <w:multiLevelType w:val="hybridMultilevel"/>
    <w:tmpl w:val="5406E68A"/>
    <w:lvl w:ilvl="0" w:tplc="D41E37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98B14DE"/>
    <w:multiLevelType w:val="hybridMultilevel"/>
    <w:tmpl w:val="ABE633F8"/>
    <w:lvl w:ilvl="0" w:tplc="717C1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A62E4A"/>
    <w:multiLevelType w:val="hybridMultilevel"/>
    <w:tmpl w:val="09A42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0"/>
  </w:num>
  <w:num w:numId="9">
    <w:abstractNumId w:val="3"/>
  </w:num>
  <w:num w:numId="10">
    <w:abstractNumId w:val="12"/>
  </w:num>
  <w:num w:numId="11">
    <w:abstractNumId w:val="8"/>
  </w:num>
  <w:num w:numId="12">
    <w:abstractNumId w:val="15"/>
  </w:num>
  <w:num w:numId="13">
    <w:abstractNumId w:val="14"/>
  </w:num>
  <w:num w:numId="14">
    <w:abstractNumId w:val="5"/>
  </w:num>
  <w:num w:numId="15">
    <w:abstractNumId w:val="2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F6"/>
    <w:rsid w:val="000403B7"/>
    <w:rsid w:val="000570E9"/>
    <w:rsid w:val="00077EF3"/>
    <w:rsid w:val="0009104B"/>
    <w:rsid w:val="000B62A2"/>
    <w:rsid w:val="000D1D02"/>
    <w:rsid w:val="000F7FAF"/>
    <w:rsid w:val="001133EE"/>
    <w:rsid w:val="001501C7"/>
    <w:rsid w:val="00192B70"/>
    <w:rsid w:val="001C2EE1"/>
    <w:rsid w:val="001E62CB"/>
    <w:rsid w:val="00200CF6"/>
    <w:rsid w:val="002A7BAE"/>
    <w:rsid w:val="003163E7"/>
    <w:rsid w:val="00316A32"/>
    <w:rsid w:val="00342FF8"/>
    <w:rsid w:val="003B19A9"/>
    <w:rsid w:val="00445CC0"/>
    <w:rsid w:val="00474926"/>
    <w:rsid w:val="004762CE"/>
    <w:rsid w:val="004D1B24"/>
    <w:rsid w:val="00552634"/>
    <w:rsid w:val="005A36AF"/>
    <w:rsid w:val="00644036"/>
    <w:rsid w:val="006D6B49"/>
    <w:rsid w:val="006F55BB"/>
    <w:rsid w:val="00786B7A"/>
    <w:rsid w:val="007B7413"/>
    <w:rsid w:val="007E7302"/>
    <w:rsid w:val="00851B00"/>
    <w:rsid w:val="0088402F"/>
    <w:rsid w:val="008B19F4"/>
    <w:rsid w:val="00912561"/>
    <w:rsid w:val="009156BB"/>
    <w:rsid w:val="00930409"/>
    <w:rsid w:val="00931EE0"/>
    <w:rsid w:val="009D6052"/>
    <w:rsid w:val="009F2038"/>
    <w:rsid w:val="00A41036"/>
    <w:rsid w:val="00B35464"/>
    <w:rsid w:val="00B807F5"/>
    <w:rsid w:val="00B97C77"/>
    <w:rsid w:val="00C20B86"/>
    <w:rsid w:val="00C22C1E"/>
    <w:rsid w:val="00C90B56"/>
    <w:rsid w:val="00CE5531"/>
    <w:rsid w:val="00D213FB"/>
    <w:rsid w:val="00D70D52"/>
    <w:rsid w:val="00D7398C"/>
    <w:rsid w:val="00DB2383"/>
    <w:rsid w:val="00E101C1"/>
    <w:rsid w:val="00E707B8"/>
    <w:rsid w:val="00E71AEB"/>
    <w:rsid w:val="00E83DF8"/>
    <w:rsid w:val="00EC49E9"/>
    <w:rsid w:val="00EE6AEC"/>
    <w:rsid w:val="00F252E4"/>
    <w:rsid w:val="00F46DC4"/>
    <w:rsid w:val="00FA7F0D"/>
    <w:rsid w:val="00FD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2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62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C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133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2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62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C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133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2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7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KONRAD_17</cp:lastModifiedBy>
  <cp:revision>35</cp:revision>
  <dcterms:created xsi:type="dcterms:W3CDTF">2012-02-15T11:15:00Z</dcterms:created>
  <dcterms:modified xsi:type="dcterms:W3CDTF">2012-05-09T10:53:00Z</dcterms:modified>
</cp:coreProperties>
</file>